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-209544</wp:posOffset>
            </wp:positionH>
            <wp:positionV relativeFrom="paragraph">
              <wp:posOffset>114300</wp:posOffset>
            </wp:positionV>
            <wp:extent cx="2471738" cy="823913"/>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71738" cy="823913"/>
                    </a:xfrm>
                    <a:prstGeom prst="rect"/>
                    <a:ln/>
                  </pic:spPr>
                </pic:pic>
              </a:graphicData>
            </a:graphic>
          </wp:anchor>
        </w:drawing>
      </w:r>
    </w:p>
    <w:p w:rsidR="00000000" w:rsidDel="00000000" w:rsidP="00000000" w:rsidRDefault="00000000" w:rsidRPr="00000000" w14:paraId="00000002">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PRESS RELEASE</w:t>
      </w:r>
    </w:p>
    <w:p w:rsidR="00000000" w:rsidDel="00000000" w:rsidP="00000000" w:rsidRDefault="00000000" w:rsidRPr="00000000" w14:paraId="00000006">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 Olivia Greenich Stern</w:t>
        <w:br w:type="textWrapping"/>
        <w:t xml:space="preserve">Food For The Hungry Marketing and Digital Content Director</w:t>
        <w:br w:type="textWrapping"/>
        <w:t xml:space="preserve">330-260-4059</w:t>
        <w:br w:type="textWrapping"/>
        <w:t xml:space="preserve">Friday, April 11, 2025</w:t>
      </w:r>
    </w:p>
    <w:p w:rsidR="00000000" w:rsidDel="00000000" w:rsidP="00000000" w:rsidRDefault="00000000" w:rsidRPr="00000000" w14:paraId="00000007">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IMMEDIATE RELEASE</w:t>
      </w:r>
    </w:p>
    <w:p w:rsidR="00000000" w:rsidDel="00000000" w:rsidP="00000000" w:rsidRDefault="00000000" w:rsidRPr="00000000" w14:paraId="00000008">
      <w:pPr>
        <w:pageBreakBefore w:val="0"/>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HEADLINE:  Food For The Hungry ensures continued support of local food initiatives.</w:t>
      </w:r>
      <w:r w:rsidDel="00000000" w:rsidR="00000000" w:rsidRPr="00000000">
        <w:rPr>
          <w:rtl w:val="0"/>
        </w:rPr>
      </w:r>
    </w:p>
    <w:p w:rsidR="00000000" w:rsidDel="00000000" w:rsidP="00000000" w:rsidRDefault="00000000" w:rsidRPr="00000000" w14:paraId="00000009">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after="16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MOUNT VERNON — During uncertain times for food banks and hot meals in Ohio, Food For The Hungry President Austin Swallow offers encouragement to Knox County. “</w:t>
      </w:r>
      <w:r w:rsidDel="00000000" w:rsidR="00000000" w:rsidRPr="00000000">
        <w:rPr>
          <w:rFonts w:ascii="Times New Roman" w:cs="Times New Roman" w:eastAsia="Times New Roman" w:hAnsi="Times New Roman"/>
          <w:sz w:val="26"/>
          <w:szCs w:val="26"/>
          <w:rtl w:val="0"/>
        </w:rPr>
        <w:t xml:space="preserve">At Food For The Hungry, we remain unwavering in our commitment to support local food initiatives and our community, especially in these challenging times. Despite the announced financial cuts </w:t>
      </w:r>
      <w:r w:rsidDel="00000000" w:rsidR="00000000" w:rsidRPr="00000000">
        <w:rPr>
          <w:rFonts w:ascii="Times New Roman" w:cs="Times New Roman" w:eastAsia="Times New Roman" w:hAnsi="Times New Roman"/>
          <w:sz w:val="26"/>
          <w:szCs w:val="26"/>
          <w:rtl w:val="0"/>
        </w:rPr>
        <w:t xml:space="preserve">which may impact our food pantry partners here in Knox County </w:t>
      </w:r>
      <w:r w:rsidDel="00000000" w:rsidR="00000000" w:rsidRPr="00000000">
        <w:rPr>
          <w:rFonts w:ascii="Times New Roman" w:cs="Times New Roman" w:eastAsia="Times New Roman" w:hAnsi="Times New Roman"/>
          <w:sz w:val="26"/>
          <w:szCs w:val="26"/>
          <w:rtl w:val="0"/>
        </w:rPr>
        <w:t xml:space="preserve">and throughout</w:t>
      </w:r>
      <w:r w:rsidDel="00000000" w:rsidR="00000000" w:rsidRPr="00000000">
        <w:rPr>
          <w:rFonts w:ascii="Times New Roman" w:cs="Times New Roman" w:eastAsia="Times New Roman" w:hAnsi="Times New Roman"/>
          <w:sz w:val="26"/>
          <w:szCs w:val="26"/>
          <w:rtl w:val="0"/>
        </w:rPr>
        <w:t xml:space="preserve"> Ohio, we are dedicated to ensuring that those who are most vulnerable in Knox County continue to receive the food and resources they need. We recognize the increasing demand for assistance and are focused on finding innovative solutions to maximize the impact of the donations you have entrusted to our care,” states Swallow. “</w:t>
      </w:r>
      <w:r w:rsidDel="00000000" w:rsidR="00000000" w:rsidRPr="00000000">
        <w:rPr>
          <w:rFonts w:ascii="Times New Roman" w:cs="Times New Roman" w:eastAsia="Times New Roman" w:hAnsi="Times New Roman"/>
          <w:sz w:val="26"/>
          <w:szCs w:val="26"/>
          <w:rtl w:val="0"/>
        </w:rPr>
        <w:t xml:space="preserve">As the year goes on, FFTH will continue to monitor the situation and will </w:t>
      </w:r>
      <w:r w:rsidDel="00000000" w:rsidR="00000000" w:rsidRPr="00000000">
        <w:rPr>
          <w:rFonts w:ascii="Times New Roman" w:cs="Times New Roman" w:eastAsia="Times New Roman" w:hAnsi="Times New Roman"/>
          <w:sz w:val="26"/>
          <w:szCs w:val="26"/>
          <w:rtl w:val="0"/>
        </w:rPr>
        <w:t xml:space="preserve">stand firm in our resolve to help our neighbors, no matter the challenges we may face. Together, we will make sure that food insecurity does not define the future of our county.”</w:t>
      </w:r>
    </w:p>
    <w:p w:rsidR="00000000" w:rsidDel="00000000" w:rsidP="00000000" w:rsidRDefault="00000000" w:rsidRPr="00000000" w14:paraId="0000000B">
      <w:pPr>
        <w:spacing w:after="16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FFTH board has designated $26,000 for Summer grants to help Knox County food initiatives. The grant committee will prioritize Summer programs that fill the gap for families with children home from school. However, all Knox County food initiatives are encouraged to apply. </w:t>
      </w:r>
    </w:p>
    <w:p w:rsidR="00000000" w:rsidDel="00000000" w:rsidP="00000000" w:rsidRDefault="00000000" w:rsidRPr="00000000" w14:paraId="0000000C">
      <w:pPr>
        <w:spacing w:after="160" w:line="259" w:lineRule="auto"/>
        <w:rPr>
          <w:color w:val="222222"/>
          <w:highlight w:val="white"/>
        </w:rPr>
      </w:pPr>
      <w:r w:rsidDel="00000000" w:rsidR="00000000" w:rsidRPr="00000000">
        <w:rPr>
          <w:rFonts w:ascii="Times New Roman" w:cs="Times New Roman" w:eastAsia="Times New Roman" w:hAnsi="Times New Roman"/>
          <w:sz w:val="26"/>
          <w:szCs w:val="26"/>
          <w:rtl w:val="0"/>
        </w:rPr>
        <w:t xml:space="preserve">The application process is open from </w:t>
      </w:r>
      <w:r w:rsidDel="00000000" w:rsidR="00000000" w:rsidRPr="00000000">
        <w:rPr>
          <w:rFonts w:ascii="Times New Roman" w:cs="Times New Roman" w:eastAsia="Times New Roman" w:hAnsi="Times New Roman"/>
          <w:b w:val="1"/>
          <w:sz w:val="26"/>
          <w:szCs w:val="26"/>
          <w:rtl w:val="0"/>
        </w:rPr>
        <w:t xml:space="preserve">Tuesday, April 1</w:t>
      </w:r>
      <w:r w:rsidDel="00000000" w:rsidR="00000000" w:rsidRPr="00000000">
        <w:rPr>
          <w:rFonts w:ascii="Times New Roman" w:cs="Times New Roman" w:eastAsia="Times New Roman" w:hAnsi="Times New Roman"/>
          <w:sz w:val="26"/>
          <w:szCs w:val="26"/>
          <w:rtl w:val="0"/>
        </w:rPr>
        <w:t xml:space="preserve">, through </w:t>
      </w:r>
      <w:r w:rsidDel="00000000" w:rsidR="00000000" w:rsidRPr="00000000">
        <w:rPr>
          <w:rFonts w:ascii="Times New Roman" w:cs="Times New Roman" w:eastAsia="Times New Roman" w:hAnsi="Times New Roman"/>
          <w:b w:val="1"/>
          <w:sz w:val="26"/>
          <w:szCs w:val="26"/>
          <w:rtl w:val="0"/>
        </w:rPr>
        <w:t xml:space="preserve">Wednesday, April 30, at 12 p.m</w:t>
      </w:r>
      <w:r w:rsidDel="00000000" w:rsidR="00000000" w:rsidRPr="00000000">
        <w:rPr>
          <w:rFonts w:ascii="Times New Roman" w:cs="Times New Roman" w:eastAsia="Times New Roman" w:hAnsi="Times New Roman"/>
          <w:sz w:val="26"/>
          <w:szCs w:val="26"/>
          <w:rtl w:val="0"/>
        </w:rPr>
        <w:t xml:space="preserve">. Awards will be announced in late May/early June.</w:t>
      </w:r>
      <w:r w:rsidDel="00000000" w:rsidR="00000000" w:rsidRPr="00000000">
        <w:rPr>
          <w:color w:val="222222"/>
          <w:highlight w:val="white"/>
          <w:rtl w:val="0"/>
        </w:rPr>
        <w:t xml:space="preserve"> </w:t>
      </w:r>
      <w:r w:rsidDel="00000000" w:rsidR="00000000" w:rsidRPr="00000000">
        <w:rPr>
          <w:rFonts w:ascii="Times New Roman" w:cs="Times New Roman" w:eastAsia="Times New Roman" w:hAnsi="Times New Roman"/>
          <w:sz w:val="26"/>
          <w:szCs w:val="26"/>
          <w:rtl w:val="0"/>
        </w:rPr>
        <w:t xml:space="preserve">The online application is available at </w:t>
      </w:r>
      <w:hyperlink r:id="rId8">
        <w:r w:rsidDel="00000000" w:rsidR="00000000" w:rsidRPr="00000000">
          <w:rPr>
            <w:rFonts w:ascii="Times New Roman" w:cs="Times New Roman" w:eastAsia="Times New Roman" w:hAnsi="Times New Roman"/>
            <w:color w:val="1155cc"/>
            <w:sz w:val="26"/>
            <w:szCs w:val="26"/>
            <w:u w:val="single"/>
            <w:rtl w:val="0"/>
          </w:rPr>
          <w:t xml:space="preserve">FoodForTheHungryCares.org/grant-application</w:t>
        </w:r>
      </w:hyperlink>
      <w:r w:rsidDel="00000000" w:rsidR="00000000" w:rsidRPr="00000000">
        <w:rPr>
          <w:color w:val="222222"/>
          <w:highlight w:val="white"/>
          <w:rtl w:val="0"/>
        </w:rPr>
        <w:t xml:space="preserve">. </w:t>
      </w:r>
    </w:p>
    <w:p w:rsidR="00000000" w:rsidDel="00000000" w:rsidP="00000000" w:rsidRDefault="00000000" w:rsidRPr="00000000" w14:paraId="0000000D">
      <w:pPr>
        <w:spacing w:after="16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For more information or assistance on the grant application and process, please email FFTH Executive Director Kathy Brechler at </w:t>
      </w:r>
      <w:r w:rsidDel="00000000" w:rsidR="00000000" w:rsidRPr="00000000">
        <w:rPr>
          <w:rFonts w:ascii="Times New Roman" w:cs="Times New Roman" w:eastAsia="Times New Roman" w:hAnsi="Times New Roman"/>
          <w:color w:val="1f1f1f"/>
          <w:sz w:val="26"/>
          <w:szCs w:val="26"/>
          <w:u w:val="single"/>
          <w:rtl w:val="0"/>
        </w:rPr>
        <w:t xml:space="preserve">Director@foodforthehungrycares.org.</w:t>
      </w:r>
      <w:r w:rsidDel="00000000" w:rsidR="00000000" w:rsidRPr="00000000">
        <w:rPr>
          <w:rtl w:val="0"/>
        </w:rPr>
      </w:r>
    </w:p>
    <w:p w:rsidR="00000000" w:rsidDel="00000000" w:rsidP="00000000" w:rsidRDefault="00000000" w:rsidRPr="00000000" w14:paraId="0000000E">
      <w:pPr>
        <w:pageBreakBefore w:val="0"/>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For photos, videos, and radio interviews from the 2024 drive, as well as FFTH history and continued opportunities to donate, please visit www.FoodForTheHungryCares.org. The 2024 Drive broadcast is available on demand for a full year at </w:t>
      </w:r>
      <w:hyperlink r:id="rId9">
        <w:r w:rsidDel="00000000" w:rsidR="00000000" w:rsidRPr="00000000">
          <w:rPr>
            <w:rFonts w:ascii="Times New Roman" w:cs="Times New Roman" w:eastAsia="Times New Roman" w:hAnsi="Times New Roman"/>
            <w:color w:val="1155cc"/>
            <w:sz w:val="26"/>
            <w:szCs w:val="26"/>
            <w:u w:val="single"/>
            <w:rtl w:val="0"/>
          </w:rPr>
          <w:t xml:space="preserve">www.mvnu.tv</w:t>
        </w:r>
      </w:hyperlink>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F">
      <w:pPr>
        <w:pageBreakBefore w:val="0"/>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pageBreakBefore w:val="0"/>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Thank you to this generous community and continued support as we </w:t>
      </w:r>
      <w:r w:rsidDel="00000000" w:rsidR="00000000" w:rsidRPr="00000000">
        <w:rPr>
          <w:rFonts w:ascii="Times New Roman" w:cs="Times New Roman" w:eastAsia="Times New Roman" w:hAnsi="Times New Roman"/>
          <w:b w:val="1"/>
          <w:i w:val="1"/>
          <w:sz w:val="26"/>
          <w:szCs w:val="26"/>
          <w:rtl w:val="0"/>
        </w:rPr>
        <w:t xml:space="preserve">work together to care for our neighbors.</w:t>
      </w:r>
      <w:r w:rsidDel="00000000" w:rsidR="00000000" w:rsidRPr="00000000">
        <w:rPr>
          <w:rtl w:val="0"/>
        </w:rPr>
      </w:r>
    </w:p>
    <w:p w:rsidR="00000000" w:rsidDel="00000000" w:rsidP="00000000" w:rsidRDefault="00000000" w:rsidRPr="00000000" w14:paraId="00000011">
      <w:pPr>
        <w:pageBreakBefore w:val="0"/>
        <w:spacing w:after="160" w:line="259"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pageBreakBefore w:val="0"/>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3">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 Caption: Captain Christine Moretz sorts donations at The Salvation Army Food Pantry in Mount Vernon, Ohio.</w:t>
      </w:r>
    </w:p>
    <w:p w:rsidR="00000000" w:rsidDel="00000000" w:rsidP="00000000" w:rsidRDefault="00000000" w:rsidRPr="00000000" w14:paraId="00000015">
      <w:pPr>
        <w:pageBreakBefore w:val="0"/>
        <w:spacing w:line="276"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vnu.t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foodforthehungrycares.org/grant-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PgcsqZ6/AVNmEe899+nIZSn6fQ==">CgMxLjA4AHIhMVdUUHgzb0laNU9janVQME1JSFo4TkFIYjR5M0FfTVJI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